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第2卷第5号</w:t>
      </w:r>
    </w:p>
    <w:p>
      <w:r>
        <w:rPr>
          <w:rFonts w:ascii="宋体" w:hAnsi="宋体" w:eastAsia="宋体"/>
          <w:sz w:val="24"/>
        </w:rPr>
        <w:t>傅东华，郑振铎编辑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第2卷第5号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傅东华，郑振铎编辑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本书出售、求购地址：https://www.jiaokey.com/book/detail/13847409.html</w:t>
      </w:r>
    </w:p>
    <w:p>
      <w:r>
        <w:t>更多相关图书推荐：https://www.jiaokey.com</w:t>
      </w:r>
    </w:p>
    <w:p>
      <w:r>
        <w:t>傅东华，郑振铎编辑 其他作品：https://www.jiaokey.com/tag/傅东华，郑振铎编辑.html</w:t>
      </w:r>
    </w:p>
    <w:p>
      <w:r>
        <w:t>生活印刷所 出版图书：https://www.jiaokey.com/tag/生活印刷所.html</w:t>
      </w:r>
    </w:p>
    <w:p>
      <w:r>
        <w:t>关键词搜索：https://www.jiaokey.com/tag/文学  第2卷第5号.html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