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文化产业经济效能研究  我国博物馆经营效益及产值调查</w:t>
      </w:r>
    </w:p>
    <w:p>
      <w:r>
        <w:rPr>
          <w:rFonts w:ascii="宋体" w:hAnsi="宋体" w:eastAsia="宋体"/>
          <w:sz w:val="24"/>
        </w:rPr>
        <w:t>全国意向股份有限公司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文化产业经济效能研究  我国博物馆经营效益及产值调查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全国意向股份有限公司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本书出售、求购地址：https://www.jiaokey.com/book/detail/13847643.html</w:t>
      </w:r>
    </w:p>
    <w:p>
      <w:r>
        <w:t>更多相关图书推荐：https://www.jiaokey.com</w:t>
      </w:r>
    </w:p>
    <w:p>
      <w:r>
        <w:t>全国意向股份有限公司 其他作品：https://www.jiaokey.com/tag/全国意向股份有限公司.html</w:t>
      </w:r>
    </w:p>
    <w:p>
      <w:r>
        <w:t>国立台湾博物馆 出版图书：https://www.jiaokey.com/tag/国立台湾博物馆.html</w:t>
      </w:r>
    </w:p>
    <w:p>
      <w:r>
        <w:t>关键词搜索：https://www.jiaokey.com/tag/文化产业经济效能研究  我国博物馆经营效益及产值调查.html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