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证券公司监督管理条例  证券公司风险处置条例释义</w:t>
      </w:r>
    </w:p>
    <w:p>
      <w:r>
        <w:rPr>
          <w:rFonts w:ascii="宋体" w:hAnsi="宋体" w:eastAsia="宋体"/>
          <w:sz w:val="24"/>
        </w:rPr>
        <w:t>刘照主编；中国证监会法律部编；中国证监会机构监管部编；中国证监会证券公司风险处置办公室编编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证券公司监督管理条例  证券公司风险处置条例释义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刘照主编；中国证监会法律部编；中国证监会机构监管部编；中国证监会证券公司风险处置办公室编编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本书出售、求购地址：https://www.jiaokey.com/book/detail/13856481.html</w:t>
      </w:r>
    </w:p>
    <w:p>
      <w:r>
        <w:t>更多相关图书推荐：https://www.jiaokey.com</w:t>
      </w:r>
    </w:p>
    <w:p>
      <w:r>
        <w:t>刘照主编；中国证监会法律部编；中国证监会机构监管部编；中国证监会证券公司风险处置办公室编编 其他作品：https://www.jiaokey.com/tag/刘照主编；中国证监会法律部编；中国证监会机构监管部编；中国证监会证券公司风险处置办公室编编.html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关键词搜索：https://www.jiaokey.com/tag/证券公司监督管理条例  证券公司风险处置条例释义.html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