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书名：写意成象  现代水墨人物画艺术思维与表现</w:t>
      </w:r>
    </w:p>
    <w:p>
      <w:r>
        <w:t>作者：张志超著</w:t>
      </w:r>
    </w:p>
    <w:p>
      <w:r>
        <w:t>出版社：南宁:广西美术出版社,2011.09</w:t>
      </w:r>
    </w:p>
    <w:p>
      <w:r>
        <w:t>出版日期：</w:t>
      </w:r>
    </w:p>
    <w:p>
      <w:r>
        <w:t>总页数：81</w:t>
      </w:r>
    </w:p>
    <w:p>
      <w:r>
        <w:t>更多请访问教客网: www.jiaokey.com</w:t>
      </w:r>
    </w:p>
    <w:p>
      <w:r>
        <w:t>写意成象  现代水墨人物画艺术思维与表现 评论地址：https://www.jiaokey.com/book/detail/13872018.html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