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孔子真精神  《论语》疑难问题解读</w:t>
      </w:r>
    </w:p>
    <w:p>
      <w:r>
        <w:rPr>
          <w:rFonts w:ascii="宋体" w:hAnsi="宋体" w:eastAsia="宋体"/>
          <w:sz w:val="24"/>
        </w:rPr>
        <w:t>廖名春著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孔子真精神  《论语》疑难问题解读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本书出售、求购地址：https://www.jiaokey.com/book/detail/13876804.html</w:t>
      </w:r>
    </w:p>
    <w:p>
      <w:r>
        <w:t>更多相关图书推荐：https://www.jiaokey.com</w:t>
      </w:r>
    </w:p>
    <w:p>
      <w:r>
        <w:t>廖名春著 其他作品：https://www.jiaokey.com/tag/廖名春著.html</w:t>
      </w:r>
    </w:p>
    <w:p>
      <w:r>
        <w:t>贵阳：孔学堂书局 出版图书：https://www.jiaokey.com/tag/贵阳：孔学堂书局.html</w:t>
      </w:r>
    </w:p>
    <w:p>
      <w:r>
        <w:t>关键词搜索：https://www.jiaokey.com/tag/孔子真精神  《论语》疑难问题解读.html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