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奢侈品策略  世界顶级服装品牌的26种设计策略</w:t>
      </w:r>
    </w:p>
    <w:p>
      <w:r>
        <w:rPr>
          <w:rFonts w:ascii="宋体" w:hAnsi="宋体" w:eastAsia="宋体"/>
          <w:sz w:val="24"/>
        </w:rPr>
        <w:t>（美）劳拉·沃丁特斯塔著；郝水菊，徐兴美译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奢侈品策略  世界顶级服装品牌的26种设计策略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（美）劳拉·沃丁特斯塔著；郝水菊，徐兴美译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本书出售、求购地址：https://www.jiaokey.com/book/detail/13878131.html</w:t>
      </w:r>
    </w:p>
    <w:p>
      <w:r>
        <w:t>更多相关图书推荐：https://www.jiaokey.com</w:t>
      </w:r>
    </w:p>
    <w:p>
      <w:r>
        <w:t>（美）劳拉·沃丁特斯塔著；郝水菊，徐兴美译 其他作品：https://www.jiaokey.com/tag/（美）劳拉·沃丁特斯塔著；郝水菊，徐兴美译.html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关键词搜索：https://www.jiaokey.com/tag/奢侈品策略  世界顶级服装品牌的26种设计策略.html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