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智富密码  知识产权运赢及货币化</w:t>
      </w:r>
    </w:p>
    <w:p>
      <w:r>
        <w:rPr>
          <w:rFonts w:ascii="宋体" w:hAnsi="宋体" w:eastAsia="宋体"/>
          <w:sz w:val="24"/>
        </w:rPr>
        <w:t>周延鹏，张淑贞，吴俊英，曾志伟，林家圣，徐历农，吴丰江，简安均著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智富密码  知识产权运赢及货币化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周延鹏，张淑贞，吴俊英，曾志伟，林家圣，徐历农，吴丰江，简安均著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本书出售、求购地址：https://www.jiaokey.com/book/detail/13903405.html</w:t>
      </w:r>
    </w:p>
    <w:p>
      <w:r>
        <w:t>更多相关图书推荐：https://www.jiaokey.com</w:t>
      </w:r>
    </w:p>
    <w:p>
      <w:r>
        <w:t>周延鹏，张淑贞，吴俊英，曾志伟，林家圣，徐历农，吴丰江，简安均著 其他作品：https://www.jiaokey.com/tag/周延鹏，张淑贞，吴俊英，曾志伟，林家圣，徐历农，吴丰江，简安均著.html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关键词搜索：https://www.jiaokey.com/tag/智富密码  知识产权运赢及货币化.html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