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建设工程文件归档管理及资料编制指南  《建设工程文件归档规范》GB/T50328-2014配套用书</w:t>
      </w:r>
    </w:p>
    <w:p>
      <w:r>
        <w:rPr>
          <w:rFonts w:ascii="宋体" w:hAnsi="宋体" w:eastAsia="宋体"/>
          <w:sz w:val="24"/>
        </w:rPr>
        <w:t>姜中桥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建设工程文件归档管理及资料编制指南  《建设工程文件归档规范》GB/T50328-2014配套用书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姜中桥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本书出售、求购地址：https://www.jiaokey.com/book/detail/13905282.html</w:t>
      </w:r>
    </w:p>
    <w:p>
      <w:r>
        <w:t>更多相关图书推荐：https://www.jiaokey.com</w:t>
      </w:r>
    </w:p>
    <w:p>
      <w:r>
        <w:t>姜中桥 其他作品：https://www.jiaokey.com/tag/姜中桥.html</w:t>
      </w:r>
    </w:p>
    <w:p>
      <w:r>
        <w:t>关键词搜索：https://www.jiaokey.com/tag/建设工程文件归档管理及资料编制指南  《建设工程文件归档规范》GB/T50328-2014配套用书.html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