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发动机构造与维修</w:t>
      </w:r>
    </w:p>
    <w:p>
      <w:r>
        <w:rPr>
          <w:rFonts w:ascii="宋体" w:hAnsi="宋体" w:eastAsia="宋体"/>
          <w:sz w:val="24"/>
        </w:rPr>
        <w:t>郭微，段伟主编；耿道森，方俊芳，钱多德副主编；余承辉主审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郭微，段伟主编；耿道森，方俊芳，钱多德副主编；余承辉主审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本书出售、求购地址：https://www.jiaokey.com/book/detail/13906661.html</w:t>
      </w:r>
    </w:p>
    <w:p>
      <w:r>
        <w:t>更多相关图书推荐：https://www.jiaokey.com</w:t>
      </w:r>
    </w:p>
    <w:p>
      <w:r>
        <w:t>郭微，段伟主编；耿道森，方俊芳，钱多德副主编；余承辉主审 其他作品：https://www.jiaokey.com/tag/郭微，段伟主编；耿道森，方俊芳，钱多德副主编；余承辉主审.html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