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最新劳动教养案件认定、查处、法律依据、司法解释及办案程序</w:t>
      </w:r>
    </w:p>
    <w:p>
      <w:r>
        <w:rPr>
          <w:rFonts w:ascii="宋体" w:hAnsi="宋体" w:eastAsia="宋体"/>
          <w:sz w:val="24"/>
        </w:rPr>
        <w:t>时庆本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最新劳动教养案件认定、查处、法律依据、司法解释及办案程序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本书出售、求购地址：https://www.jiaokey.com/book/detail/13919944.html</w:t>
      </w:r>
    </w:p>
    <w:p>
      <w:r>
        <w:t>更多相关图书推荐：https://www.jiaokey.com</w:t>
      </w:r>
    </w:p>
    <w:p>
      <w:r>
        <w:t>时庆本 其他作品：https://www.jiaokey.com/tag/时庆本.html</w:t>
      </w:r>
    </w:p>
    <w:p>
      <w:r>
        <w:t>关键词搜索：https://www.jiaokey.com/tag/最新劳动教养案件认定、查处、法律依据、司法解释及办案程序.html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