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介入肾脏病学</w:t>
      </w:r>
    </w:p>
    <w:p>
      <w:r>
        <w:rPr>
          <w:rFonts w:ascii="宋体" w:hAnsi="宋体" w:eastAsia="宋体"/>
          <w:sz w:val="24"/>
        </w:rPr>
        <w:t>（美）ARIF ASIF，AMIL K.AGARWAL，ALEXANDER S.YEVZLIN，吴世新，GERALD A.BEATHARD原著；刘炳岩，吴世新主译；吴世新主审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介入肾脏病学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（美）ARIF ASIF，AMIL K.AGARWAL，ALEXANDER S.YEVZLIN，吴世新，GERALD A.BEATHARD原著；刘炳岩，吴世新主译；吴世新主审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本书出售、求购地址：https://www.jiaokey.com/book/detail/13961990.html</w:t>
      </w:r>
    </w:p>
    <w:p>
      <w:r>
        <w:t>更多相关图书推荐：https://www.jiaokey.com</w:t>
      </w:r>
    </w:p>
    <w:p>
      <w:r>
        <w:t>（美）ARIF ASIF，AMIL K.AGARWAL，ALEXANDER S.YEVZLIN，吴世新，GERALD A.BEATHARD原著；刘炳岩，吴世新主译；吴世新主审 其他作品：https://www.jiaokey.com/tag/（美）ARIF ASIF，AMIL K.AGARWAL，ALEXANDER S.YEVZLIN，吴世新，GERALD A.BEATHARD原著；刘炳岩，吴世新主译；吴世新主审.html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关键词搜索：https://www.jiaokey.com/tag/介入肾脏病学.html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