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实践的力量  第二届中国当代版画文献展作品集</w:t>
      </w:r>
    </w:p>
    <w:p>
      <w:r>
        <w:rPr>
          <w:rFonts w:ascii="宋体" w:hAnsi="宋体" w:eastAsia="宋体"/>
          <w:sz w:val="24"/>
        </w:rPr>
        <w:t>刘春杰编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实践的力量  第二届中国当代版画文献展作品集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本书出售、求购地址：https://www.jiaokey.com/book/detail/13972298.html</w:t>
      </w:r>
    </w:p>
    <w:p>
      <w:r>
        <w:t>更多相关图书推荐：https://www.jiaokey.com</w:t>
      </w:r>
    </w:p>
    <w:p>
      <w:r>
        <w:t>刘春杰编 其他作品：https://www.jiaokey.com/tag/刘春杰编.html</w:t>
      </w:r>
    </w:p>
    <w:p>
      <w:r>
        <w:t>南京博物院 出版图书：https://www.jiaokey.com/tag/南京博物院.html</w:t>
      </w:r>
    </w:p>
    <w:p>
      <w:r>
        <w:t>关键词搜索：https://www.jiaokey.com/tag/实践的力量  第二届中国当代版画文献展作品集.html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