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房地产法规应用</w:t>
      </w:r>
    </w:p>
    <w:p>
      <w:r>
        <w:rPr>
          <w:rFonts w:ascii="宋体" w:hAnsi="宋体" w:eastAsia="宋体"/>
          <w:sz w:val="24"/>
        </w:rPr>
        <w:t>武海明巫英士主编；郑杰珂，朱红梅副主编；倪志军，叶鹏，王汁汁，刘娜等参编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武海明巫英士主编；郑杰珂，朱红梅副主编；倪志军，叶鹏，王汁汁，刘娜等参编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本书出售、求购地址：https://www.jiaokey.com/book/detail/14014455.html</w:t>
      </w:r>
    </w:p>
    <w:p>
      <w:r>
        <w:t>更多相关图书推荐：https://www.jiaokey.com</w:t>
      </w:r>
    </w:p>
    <w:p>
      <w:r>
        <w:t>武海明巫英士主编；郑杰珂，朱红梅副主编；倪志军，叶鹏，王汁汁，刘娜等参编 其他作品：https://www.jiaokey.com/tag/武海明巫英士主编；郑杰珂，朱红梅副主编；倪志军，叶鹏，王汁汁，刘娜等参编.html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关键词搜索：https://www.jiaokey.com/tag/房地产法规应用.html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