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  RFID  协议原理及实践开发</w:t>
      </w:r>
    </w:p>
    <w:p>
      <w:r>
        <w:rPr>
          <w:rFonts w:ascii="宋体" w:hAnsi="宋体" w:eastAsia="宋体"/>
          <w:sz w:val="24"/>
        </w:rPr>
        <w:t>邓昀，李小龙，张澎主编；陶晓玲，程小辉，王鲁达编著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  RFID  协议原理及实践开发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邓昀，李小龙，张澎主编；陶晓玲，程小辉，王鲁达编著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本书出售、求购地址：https://www.jiaokey.com/book/detail/14033784.html</w:t>
      </w:r>
    </w:p>
    <w:p>
      <w:r>
        <w:t>更多相关图书推荐：https://www.jiaokey.com</w:t>
      </w:r>
    </w:p>
    <w:p>
      <w:r>
        <w:t>邓昀，李小龙，张澎主编；陶晓玲，程小辉，王鲁达编著 其他作品：https://www.jiaokey.com/tag/邓昀，李小龙，张澎主编；陶晓玲，程小辉，王鲁达编著.html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关键词搜索：https://www.jiaokey.com/tag/射频识别  RFID  协议原理及实践开发.html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