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蒙古人民共和国民事诉讼</w:t>
      </w:r>
    </w:p>
    <w:p>
      <w:r>
        <w:rPr>
          <w:rFonts w:ascii="宋体" w:hAnsi="宋体" w:eastAsia="宋体"/>
          <w:sz w:val="24"/>
        </w:rPr>
        <w:t>多弗顿基因·鲁弗桑桑沙拉夫著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多弗顿基因·鲁弗桑桑沙拉夫著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本书出售、求购地址：https://www.jiaokey.com/book/detail/14037252.html</w:t>
      </w:r>
    </w:p>
    <w:p>
      <w:r>
        <w:t>更多相关图书推荐：https://www.jiaokey.com</w:t>
      </w:r>
    </w:p>
    <w:p>
      <w:r>
        <w:t>多弗顿基因·鲁弗桑桑沙拉夫著 其他作品：https://www.jiaokey.com/tag/多弗顿基因·鲁弗桑桑沙拉夫著.html</w:t>
      </w:r>
    </w:p>
    <w:p>
      <w:r>
        <w:t>西南政法学院法律系诉讼法教研室 出版图书：https://www.jiaokey.com/tag/西南政法学院法律系诉讼法教研室.html</w:t>
      </w:r>
    </w:p>
    <w:p>
      <w:r>
        <w:t>关键词搜索：https://www.jiaokey.com/tag/蒙古人民共和国民事诉讼.html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