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社会主义刑法的当代发展趋势</w:t>
      </w:r>
    </w:p>
    <w:p>
      <w:r>
        <w:rPr>
          <w:rFonts w:ascii="宋体" w:hAnsi="宋体" w:eastAsia="宋体"/>
          <w:sz w:val="24"/>
        </w:rPr>
        <w:t>徐晓晴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社会主义刑法的当代发展趋势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西南政法学院外国法学研究室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本书出售、求购地址：https://www.jiaokey.com/book/detail/14037403.html</w:t>
      </w:r>
    </w:p>
    <w:p>
      <w:r>
        <w:t>更多相关图书推荐：https://www.jiaokey.com</w:t>
      </w:r>
    </w:p>
    <w:p>
      <w:r>
        <w:t>徐晓晴 其他作品：https://www.jiaokey.com/tag/徐晓晴.html</w:t>
      </w:r>
    </w:p>
    <w:p>
      <w:r>
        <w:t>西南政法学院外国法学研究室 出版图书：https://www.jiaokey.com/tag/西南政法学院外国法学研究室.html</w:t>
      </w:r>
    </w:p>
    <w:p>
      <w:r>
        <w:t>关键词搜索：https://www.jiaokey.com/tag/社会主义刑法的当代发展趋势.html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