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渔洋山人感旧集  4</w:t>
      </w:r>
    </w:p>
    <w:p>
      <w:r>
        <w:rPr>
          <w:rFonts w:ascii="宋体" w:hAnsi="宋体" w:eastAsia="宋体"/>
          <w:sz w:val="24"/>
        </w:rPr>
        <w:t>（清）王士禛选；（清）卢见曾补传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渔洋山人感旧集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（清）王士禛选；（清）卢见曾补传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卢氏雅雨堂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本书出售、求购地址：https://www.jiaokey.com/book/detail/14042128.html</w:t>
      </w:r>
    </w:p>
    <w:p>
      <w:r>
        <w:t>更多相关图书推荐：https://www.jiaokey.com</w:t>
      </w:r>
    </w:p>
    <w:p>
      <w:r>
        <w:t>（清）王士禛选；（清）卢见曾补传 其他作品：https://www.jiaokey.com/tag/（清）王士禛选；（清）卢见曾补传.html</w:t>
      </w:r>
    </w:p>
    <w:p>
      <w:r>
        <w:t>卢氏雅雨堂 出版图书：https://www.jiaokey.com/tag/卢氏雅雨堂.html</w:t>
      </w:r>
    </w:p>
    <w:p>
      <w:r>
        <w:t>关键词搜索：https://www.jiaokey.com/tag/渔洋山人感旧集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