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纪念之外  二二八事件  创伤与性别差异的美学</w:t>
      </w:r>
    </w:p>
    <w:p>
      <w:r>
        <w:rPr>
          <w:rFonts w:ascii="宋体" w:hAnsi="宋体" w:eastAsia="宋体"/>
          <w:sz w:val="24"/>
        </w:rPr>
        <w:t>陈香君著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纪念之外  二二八事件  创伤与性别差异的美学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台湾女性艺术协会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本书出售、求购地址：https://www.jiaokey.com/book/detail/14079043.html</w:t>
      </w:r>
    </w:p>
    <w:p>
      <w:r>
        <w:t>更多相关图书推荐：https://www.jiaokey.com</w:t>
      </w:r>
    </w:p>
    <w:p>
      <w:r>
        <w:t>陈香君著 其他作品：https://www.jiaokey.com/tag/陈香君著.html</w:t>
      </w:r>
    </w:p>
    <w:p>
      <w:r>
        <w:t>台湾女性艺术协会 出版图书：https://www.jiaokey.com/tag/台湾女性艺术协会.html</w:t>
      </w:r>
    </w:p>
    <w:p>
      <w:r>
        <w:t>关键词搜索：https://www.jiaokey.com/tag/纪念之外  二二八事件  创伤与性别差异的美学.html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