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中华人民共和国野生动物保护法解读</w:t>
      </w:r>
    </w:p>
    <w:p>
      <w:r>
        <w:rPr>
          <w:rFonts w:ascii="宋体" w:hAnsi="宋体" w:eastAsia="宋体"/>
          <w:sz w:val="24"/>
        </w:rPr>
        <w:t>全国人大环资委法案室，全国人大常委会法工委经济法室，农业部渔业局，国家林业局法规司保护司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中华人民共和国野生动物保护法解读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全国人大环资委法案室，全国人大常委会法工委经济法室，农业部渔业局，国家林业局法规司保护司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本书出售、求购地址：https://www.jiaokey.com/book/detail/14085232.html</w:t>
      </w:r>
    </w:p>
    <w:p>
      <w:r>
        <w:t>更多相关图书推荐：https://www.jiaokey.com</w:t>
      </w:r>
    </w:p>
    <w:p>
      <w:r>
        <w:t>全国人大环资委法案室，全国人大常委会法工委经济法室，农业部渔业局，国家林业局法规司保护司 其他作品：https://www.jiaokey.com/tag/全国人大环资委法案室，全国人大常委会法工委经济法室，农业部渔业局，国家林业局法规司保护司.html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关键词搜索：https://www.jiaokey.com/tag/中华人民共和国野生动物保护法解读.html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