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马克思自然力危机理论</w:t>
      </w:r>
    </w:p>
    <w:p>
      <w:r>
        <w:rPr>
          <w:rFonts w:ascii="宋体" w:hAnsi="宋体" w:eastAsia="宋体"/>
          <w:sz w:val="24"/>
        </w:rPr>
        <w:t>刘静暖，董正信著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马克思自然力危机理论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刘静暖，董正信著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中国环境出版有限责任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本书出售、求购地址：https://www.jiaokey.com/book/detail/14101711.html</w:t>
      </w:r>
    </w:p>
    <w:p>
      <w:r>
        <w:t>更多相关图书推荐：https://www.jiaokey.com</w:t>
      </w:r>
    </w:p>
    <w:p>
      <w:r>
        <w:t>刘静暖，董正信著 其他作品：https://www.jiaokey.com/tag/刘静暖，董正信著.html</w:t>
      </w:r>
    </w:p>
    <w:p>
      <w:r>
        <w:t>中国环境出版有限责任 出版图书：https://www.jiaokey.com/tag/中国环境出版有限责任.html</w:t>
      </w:r>
    </w:p>
    <w:p>
      <w:r>
        <w:t>关键词搜索：https://www.jiaokey.com/tag/马克思自然力危机理论.html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