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论法治国之权利保护与违宪审查</w:t>
      </w:r>
    </w:p>
    <w:p>
      <w:r>
        <w:rPr>
          <w:rFonts w:ascii="宋体" w:hAnsi="宋体" w:eastAsia="宋体"/>
          <w:sz w:val="24"/>
        </w:rPr>
        <w:t>陈春生著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论法治国之权利保护与违宪审查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本书出售、求购地址：https://www.jiaokey.com/book/detail/14112335.html</w:t>
      </w:r>
    </w:p>
    <w:p>
      <w:r>
        <w:t>更多相关图书推荐：https://www.jiaokey.com</w:t>
      </w:r>
    </w:p>
    <w:p>
      <w:r>
        <w:t>陈春生著 其他作品：https://www.jiaokey.com/tag/陈春生著.html</w:t>
      </w:r>
    </w:p>
    <w:p>
      <w:r>
        <w:t>新学林出版社 出版图书：https://www.jiaokey.com/tag/新学林出版社.html</w:t>
      </w:r>
    </w:p>
    <w:p>
      <w:r>
        <w:t>关键词搜索：https://www.jiaokey.com/tag/论法治国之权利保护与违宪审查.html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