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学校、法律、地方社会  宋元的学产纠纷与争讼</w:t>
      </w:r>
    </w:p>
    <w:p>
      <w:r>
        <w:rPr>
          <w:rFonts w:ascii="宋体" w:hAnsi="宋体" w:eastAsia="宋体"/>
          <w:sz w:val="24"/>
        </w:rPr>
        <w:t>李如钧著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学校、法律、地方社会  宋元的学产纠纷与争讼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本书出售、求购地址：https://www.jiaokey.com/book/detail/14150587.html</w:t>
      </w:r>
    </w:p>
    <w:p>
      <w:r>
        <w:t>更多相关图书推荐：https://www.jiaokey.com</w:t>
      </w:r>
    </w:p>
    <w:p>
      <w:r>
        <w:t>李如钧著 其他作品：https://www.jiaokey.com/tag/李如钧著.html</w:t>
      </w:r>
    </w:p>
    <w:p>
      <w:r>
        <w:t>台大出版中心 出版图书：https://www.jiaokey.com/tag/台大出版中心.html</w:t>
      </w:r>
    </w:p>
    <w:p>
      <w:r>
        <w:t>关键词搜索：https://www.jiaokey.com/tag/学校、法律、地方社会  宋元的学产纠纷与争讼.html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