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钢桥、混凝土桥及结合桥  第3章  1982  钢桥设计实施规范</w:t>
      </w:r>
    </w:p>
    <w:p>
      <w:r>
        <w:rPr>
          <w:rFonts w:ascii="宋体" w:hAnsi="宋体" w:eastAsia="宋体"/>
          <w:sz w:val="24"/>
        </w:rPr>
        <w:t>铁道部大桥工程局桥梁科学研究所编著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钢桥、混凝土桥及结合桥  第3章  1982  钢桥设计实施规范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铁道部大桥工程局桥梁科学研究所编著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本书出售、求购地址：https://www.jiaokey.com/book/detail/14157635.html</w:t>
      </w:r>
    </w:p>
    <w:p>
      <w:r>
        <w:t>更多相关图书推荐：https://www.jiaokey.com</w:t>
      </w:r>
    </w:p>
    <w:p>
      <w:r>
        <w:t>铁道部大桥工程局桥梁科学研究所编著 其他作品：https://www.jiaokey.com/tag/铁道部大桥工程局桥梁科学研究所编著.html</w:t>
      </w:r>
    </w:p>
    <w:p>
      <w:r>
        <w:t>关键词搜索：https://www.jiaokey.com/tag/钢桥、混凝土桥及结合桥  第3章  1982  钢桥设计实施规范.html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