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财政分权、空间溢出与我国公共物品供给研究</w:t>
      </w:r>
    </w:p>
    <w:p>
      <w:r>
        <w:rPr>
          <w:rFonts w:ascii="宋体" w:hAnsi="宋体" w:eastAsia="宋体"/>
          <w:sz w:val="24"/>
        </w:rPr>
        <w:t>刘君著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财政分权、空间溢出与我国公共物品供给研究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本书出售、求购地址：https://www.jiaokey.com/book/detail/14215822.html</w:t>
      </w:r>
    </w:p>
    <w:p>
      <w:r>
        <w:t>更多相关图书推荐：https://www.jiaokey.com</w:t>
      </w:r>
    </w:p>
    <w:p>
      <w:r>
        <w:t>刘君著 其他作品：https://www.jiaokey.com/tag/刘君著.html</w:t>
      </w:r>
    </w:p>
    <w:p>
      <w:r>
        <w:t>关键词搜索：https://www.jiaokey.com/tag/财政分权、空间溢出与我国公共物品供给研究.html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