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“一带一路”战略与企业“走出去”法律风险应对研究  以广东为例</w:t>
      </w:r>
    </w:p>
    <w:p>
      <w:r>
        <w:rPr>
          <w:rFonts w:ascii="宋体" w:hAnsi="宋体" w:eastAsia="宋体"/>
          <w:sz w:val="24"/>
        </w:rPr>
        <w:t>文川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“一带一路”战略与企业“走出去”法律风险应对研究  以广东为例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本书出售、求购地址：https://www.jiaokey.com/book/detail/14218013.html</w:t>
      </w:r>
    </w:p>
    <w:p>
      <w:r>
        <w:t>更多相关图书推荐：https://www.jiaokey.com</w:t>
      </w:r>
    </w:p>
    <w:p>
      <w:r>
        <w:t>文川 其他作品：https://www.jiaokey.com/tag/文川.html</w:t>
      </w:r>
    </w:p>
    <w:p>
      <w:r>
        <w:t>关键词搜索：https://www.jiaokey.com/tag/“一带一路”战略与企业“走出去”法律风险应对研究  以广东为例.html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