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建设工程优先受偿权</w:t>
      </w:r>
    </w:p>
    <w:p>
      <w:r>
        <w:rPr>
          <w:rFonts w:ascii="宋体" w:hAnsi="宋体" w:eastAsia="宋体"/>
          <w:sz w:val="24"/>
        </w:rPr>
        <w:t>中国建设工程法律评论第四工作组编著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建设工程优先受偿权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中国建设工程法律评论第四工作组编著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本书出售、求购地址：https://www.jiaokey.com/book/detail/14280461.html</w:t>
      </w:r>
    </w:p>
    <w:p>
      <w:r>
        <w:t>更多相关图书推荐：https://www.jiaokey.com</w:t>
      </w:r>
    </w:p>
    <w:p>
      <w:r>
        <w:t>中国建设工程法律评论第四工作组编著 其他作品：https://www.jiaokey.com/tag/中国建设工程法律评论第四工作组编著.html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关键词搜索：https://www.jiaokey.com/tag/建设工程优先受偿权.html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