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数值分析在水利水电工程中的应用</w:t>
      </w:r>
    </w:p>
    <w:p>
      <w:r>
        <w:rPr>
          <w:rFonts w:ascii="宋体" w:hAnsi="宋体" w:eastAsia="宋体"/>
          <w:sz w:val="24"/>
        </w:rPr>
        <w:t>梁春雨，安超，王李平等著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数值分析在水利水电工程中的应用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梁春雨，安超，王李平等著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郑州：黄河水利出版社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本书出售、求购地址：https://www.jiaokey.com/book/detail/14287751.html</w:t>
      </w:r>
    </w:p>
    <w:p>
      <w:r>
        <w:t>更多相关图书推荐：https://www.jiaokey.com</w:t>
      </w:r>
    </w:p>
    <w:p>
      <w:r>
        <w:t>梁春雨，安超，王李平等著 其他作品：https://www.jiaokey.com/tag/梁春雨，安超，王李平等著.html</w:t>
      </w:r>
    </w:p>
    <w:p>
      <w:r>
        <w:t>郑州：黄河水利出版社 出版图书：https://www.jiaokey.com/tag/郑州：黄河水利出版社.html</w:t>
      </w:r>
    </w:p>
    <w:p>
      <w:r>
        <w:t>关键词搜索：https://www.jiaokey.com/tag/数值分析在水利水电工程中的应用.html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