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追梦人  陈爱莲与万丰控股集团</w:t>
      </w:r>
    </w:p>
    <w:p>
      <w:r>
        <w:rPr>
          <w:rFonts w:ascii="宋体" w:hAnsi="宋体" w:eastAsia="宋体"/>
          <w:sz w:val="24"/>
        </w:rPr>
        <w:t>郑作时著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追梦人  陈爱莲与万丰控股集团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郑作时著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本书出售、求购地址：https://www.jiaokey.com/book/detail/14307871.html</w:t>
      </w:r>
    </w:p>
    <w:p>
      <w:r>
        <w:t>更多相关图书推荐：https://www.jiaokey.com</w:t>
      </w:r>
    </w:p>
    <w:p>
      <w:r>
        <w:t>郑作时著 其他作品：https://www.jiaokey.com/tag/郑作时著.html</w:t>
      </w:r>
    </w:p>
    <w:p>
      <w:r>
        <w:t>中信出版集团 出版图书：https://www.jiaokey.com/tag/中信出版集团.html</w:t>
      </w:r>
    </w:p>
    <w:p>
      <w:r>
        <w:t>关键词搜索：https://www.jiaokey.com/tag/追梦人  陈爱莲与万丰控股集团.html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