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如何打造你的独特观点</w:t>
      </w:r>
    </w:p>
    <w:p>
      <w:r>
        <w:rPr>
          <w:rFonts w:ascii="宋体" w:hAnsi="宋体" w:eastAsia="宋体"/>
          <w:sz w:val="24"/>
        </w:rPr>
        <w:t>（日）斋藤孝著；巩露霞译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如何打造你的独特观点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（日）斋藤孝著；巩露霞译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后浪出版公司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本书出售、求购地址：https://www.jiaokey.com/book/detail/14321299.html</w:t>
      </w:r>
    </w:p>
    <w:p>
      <w:r>
        <w:t>更多相关图书推荐：https://www.jiaokey.com</w:t>
      </w:r>
    </w:p>
    <w:p>
      <w:r>
        <w:t>（日）斋藤孝著；巩露霞译 其他作品：https://www.jiaokey.com/tag/（日）斋藤孝著；巩露霞译.html</w:t>
      </w:r>
    </w:p>
    <w:p>
      <w:r>
        <w:t>后浪出版公司 出版图书：https://www.jiaokey.com/tag/后浪出版公司.html</w:t>
      </w:r>
    </w:p>
    <w:p>
      <w:r>
        <w:t>关键词搜索：https://www.jiaokey.com/tag/如何打造你的独特观点.html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