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驱动本田  本田制造的三大核心法则</w:t>
      </w:r>
    </w:p>
    <w:p>
      <w:r>
        <w:rPr>
          <w:rFonts w:ascii="宋体" w:hAnsi="宋体" w:eastAsia="宋体"/>
          <w:sz w:val="24"/>
        </w:rPr>
        <w:t>（美）杰弗里·罗斯费德著；彭碧馨，程宇编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驱动本田  本田制造的三大核心法则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（美）杰弗里·罗斯费德著；彭碧馨，程宇编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本书出售、求购地址：https://www.jiaokey.com/book/detail/14335455.html</w:t>
      </w:r>
    </w:p>
    <w:p>
      <w:r>
        <w:t>更多相关图书推荐：https://www.jiaokey.com</w:t>
      </w:r>
    </w:p>
    <w:p>
      <w:r>
        <w:t>（美）杰弗里·罗斯费德著；彭碧馨，程宇编 其他作品：https://www.jiaokey.com/tag/（美）杰弗里·罗斯费德著；彭碧馨，程宇编.html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关键词搜索：https://www.jiaokey.com/tag/驱动本田  本田制造的三大核心法则.html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