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深化财税体制改革的战略取向与要领</w:t>
      </w:r>
    </w:p>
    <w:p>
      <w:r>
        <w:rPr>
          <w:rFonts w:ascii="宋体" w:hAnsi="宋体" w:eastAsia="宋体"/>
          <w:sz w:val="24"/>
        </w:rPr>
        <w:t>贾康，刘薇，孙维著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深化财税体制改革的战略取向与要领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贾康，刘薇，孙维著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本书出售、求购地址：https://www.jiaokey.com/book/detail/14404394.html</w:t>
      </w:r>
    </w:p>
    <w:p>
      <w:r>
        <w:t>更多相关图书推荐：https://www.jiaokey.com</w:t>
      </w:r>
    </w:p>
    <w:p>
      <w:r>
        <w:t>贾康，刘薇，孙维著 其他作品：https://www.jiaokey.com/tag/贾康，刘薇，孙维著.html</w:t>
      </w:r>
    </w:p>
    <w:p>
      <w:r>
        <w:t>广东省出版集团；广东经济出版社 出版图书：https://www.jiaokey.com/tag/广东省出版集团；广东经济出版社.html</w:t>
      </w:r>
    </w:p>
    <w:p>
      <w:r>
        <w:t>关键词搜索：https://www.jiaokey.com/tag/深化财税体制改革的战略取向与要领.html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