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全局敏感性分析</w:t>
      </w:r>
    </w:p>
    <w:p>
      <w:r>
        <w:rPr>
          <w:rFonts w:ascii="宋体" w:hAnsi="宋体" w:eastAsia="宋体"/>
          <w:sz w:val="24"/>
        </w:rPr>
        <w:t>萨特利（A. Saltelli）著；吴琼莉，丁义明，易鸣，范清风译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全局敏感性分析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萨特利（A. Saltelli）著；吴琼莉，丁义明，易鸣，范清风译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本书出售、求购地址：https://www.jiaokey.com/book/detail/14416637.html</w:t>
      </w:r>
    </w:p>
    <w:p>
      <w:r>
        <w:t>更多相关图书推荐：https://www.jiaokey.com</w:t>
      </w:r>
    </w:p>
    <w:p>
      <w:r>
        <w:t>萨特利（A. Saltelli）著；吴琼莉，丁义明，易鸣，范清风译 其他作品：https://www.jiaokey.com/tag/萨特利（A. Saltelli）著；吴琼莉，丁义明，易鸣，范清风译.html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关键词搜索：https://www.jiaokey.com/tag/全局敏感性分析.html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