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诊治重点与典型病例丛书  急性肾损伤  诊治重点与典型病例</w:t>
      </w:r>
    </w:p>
    <w:p>
      <w:r>
        <w:rPr>
          <w:rFonts w:ascii="宋体" w:hAnsi="宋体" w:eastAsia="宋体"/>
          <w:sz w:val="24"/>
        </w:rPr>
        <w:t>薛兰芬，聂丽敏，牛文明等主编；刘冰总主编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诊治重点与典型病例丛书  急性肾损伤  诊治重点与典型病例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薛兰芬，聂丽敏，牛文明等主编；刘冰总主编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本书出售、求购地址：https://www.jiaokey.com/book/detail/14427293.html</w:t>
      </w:r>
    </w:p>
    <w:p>
      <w:r>
        <w:t>更多相关图书推荐：https://www.jiaokey.com</w:t>
      </w:r>
    </w:p>
    <w:p>
      <w:r>
        <w:t>薛兰芬，聂丽敏，牛文明等主编；刘冰总主编 其他作品：https://www.jiaokey.com/tag/薛兰芬，聂丽敏，牛文明等主编；刘冰总主编.html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关键词搜索：https://www.jiaokey.com/tag/诊治重点与典型病例丛书  急性肾损伤  诊治重点与典型病例.html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