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预拌干混砂浆成套设备的选用</w:t>
      </w:r>
    </w:p>
    <w:p>
      <w:r>
        <w:rPr>
          <w:rFonts w:ascii="宋体" w:hAnsi="宋体" w:eastAsia="宋体"/>
          <w:sz w:val="24"/>
        </w:rPr>
        <w:t>薛国龙，王巨南，谢俊德，徐沛良等主编；吕建元，施玉男，冯文利副主编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预拌干混砂浆成套设备的选用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薛国龙，王巨南，谢俊德，徐沛良等主编；吕建元，施玉男，冯文利副主编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本书出售、求购地址：https://www.jiaokey.com/book/detail/14437460.html</w:t>
      </w:r>
    </w:p>
    <w:p>
      <w:r>
        <w:t>更多相关图书推荐：https://www.jiaokey.com</w:t>
      </w:r>
    </w:p>
    <w:p>
      <w:r>
        <w:t>薛国龙，王巨南，谢俊德，徐沛良等主编；吕建元，施玉男，冯文利副主编 其他作品：https://www.jiaokey.com/tag/薛国龙，王巨南，谢俊德，徐沛良等主编；吕建元，施玉男，冯文利副主编.html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关键词搜索：https://www.jiaokey.com/tag/预拌干混砂浆成套设备的选用.html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