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创新驱动高质量发展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创新驱动高质量发展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本书出售、求购地址：https://www.jiaokey.com/book/detail/14487255.html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关键词搜索：https://www.jiaokey.com/tag/创新驱动高质量发展.html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