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行政事业单位财务管理实用法规应用指南  下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行政事业单位财务管理实用法规应用指南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本书出售、求购地址：https://www.jiaokey.com/book/detail/14489702.html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关键词搜索：https://www.jiaokey.com/tag/行政事业单位财务管理实用法规应用指南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