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分镜头设计</w:t>
      </w:r>
    </w:p>
    <w:p>
      <w:r>
        <w:rPr>
          <w:rFonts w:ascii="宋体" w:hAnsi="宋体" w:eastAsia="宋体"/>
          <w:sz w:val="24"/>
        </w:rPr>
        <w:t>陈继光，刘明主编；梁莉，秦晓伟，孙友全，舒文婷，黄林副主编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分镜头设计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陈继光，刘明主编；梁莉，秦晓伟，孙友全，舒文婷，黄林副主编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本书出售、求购地址：https://www.jiaokey.com/book/detail/14515519.html</w:t>
      </w:r>
    </w:p>
    <w:p>
      <w:r>
        <w:t>更多相关图书推荐：https://www.jiaokey.com</w:t>
      </w:r>
    </w:p>
    <w:p>
      <w:r>
        <w:t>陈继光，刘明主编；梁莉，秦晓伟，孙友全，舒文婷，黄林副主编 其他作品：https://www.jiaokey.com/tag/陈继光，刘明主编；梁莉，秦晓伟，孙友全，舒文婷，黄林副主编.html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关键词搜索：https://www.jiaokey.com/tag/分镜头设计.html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