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社区公共文化服务创新策略  城市社区公共文化服务供给运营机制创新研究</w:t>
      </w:r>
    </w:p>
    <w:p>
      <w:r>
        <w:rPr>
          <w:rFonts w:ascii="宋体" w:hAnsi="宋体" w:eastAsia="宋体"/>
          <w:sz w:val="24"/>
        </w:rPr>
        <w:t>徐清泉著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3457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52559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3457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社区公共文化服务创新策略  城市社区公共文化服务供给运营机制创新研究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徐清泉著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上海：上海社会科学院出版社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本书出售、求购地址：https://www.jiaokey.com/book/detail/14525596.html</w:t>
      </w:r>
    </w:p>
    <w:p>
      <w:r>
        <w:t>更多相关图书推荐：https://www.jiaokey.com</w:t>
      </w:r>
    </w:p>
    <w:p>
      <w:r>
        <w:t>徐清泉著 其他作品：https://www.jiaokey.com/tag/徐清泉著.html</w:t>
      </w:r>
    </w:p>
    <w:p>
      <w:r>
        <w:t>上海：上海社会科学院出版社 出版图书：https://www.jiaokey.com/tag/上海：上海社会科学院出版社.html</w:t>
      </w:r>
    </w:p>
    <w:p>
      <w:r>
        <w:t>关键词搜索：https://www.jiaokey.com/tag/社区公共文化服务创新策略  城市社区公共文化服务供给运营机制创新研究.html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