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内蒙古自治区重要矿产区域成矿规律</w:t>
      </w:r>
    </w:p>
    <w:p>
      <w:r>
        <w:rPr>
          <w:rFonts w:ascii="宋体" w:hAnsi="宋体" w:eastAsia="宋体"/>
          <w:sz w:val="24"/>
        </w:rPr>
        <w:t>许立权，张彤，张明，康小龙，许展等编著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内蒙古自治区重要矿产区域成矿规律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许立权，张彤，张明，康小龙，许展等编著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中国地质大学出版社有限责任公司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本书出售、求购地址：https://www.jiaokey.com/book/detail/14525815.html</w:t>
      </w:r>
    </w:p>
    <w:p>
      <w:r>
        <w:t>更多相关图书推荐：https://www.jiaokey.com</w:t>
      </w:r>
    </w:p>
    <w:p>
      <w:r>
        <w:t>许立权，张彤，张明，康小龙，许展等编著 其他作品：https://www.jiaokey.com/tag/许立权，张彤，张明，康小龙，许展等编著.html</w:t>
      </w:r>
    </w:p>
    <w:p>
      <w:r>
        <w:t>中国地质大学出版社有限责任公司 出版图书：https://www.jiaokey.com/tag/中国地质大学出版社有限责任公司.html</w:t>
      </w:r>
    </w:p>
    <w:p>
      <w:r>
        <w:t>关键词搜索：https://www.jiaokey.com/tag/内蒙古自治区重要矿产区域成矿规律.html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