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“中国近现代史纲要”教学疑难深度解析</w:t>
      </w:r>
    </w:p>
    <w:p>
      <w:r>
        <w:rPr>
          <w:rFonts w:ascii="宋体" w:hAnsi="宋体" w:eastAsia="宋体"/>
          <w:sz w:val="24"/>
        </w:rPr>
        <w:t>何虎生主编；中国人民大学马克思主义学院，北京高校思想政治理论课高精尖创新中心组编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“中国近现代史纲要”教学疑难深度解析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何虎生主编；中国人民大学马克思主义学院，北京高校思想政治理论课高精尖创新中心组编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本书出售、求购地址：https://www.jiaokey.com/book/detail/14540529.html</w:t>
      </w:r>
    </w:p>
    <w:p>
      <w:r>
        <w:t>更多相关图书推荐：https://www.jiaokey.com</w:t>
      </w:r>
    </w:p>
    <w:p>
      <w:r>
        <w:t>何虎生主编；中国人民大学马克思主义学院，北京高校思想政治理论课高精尖创新中心组编 其他作品：https://www.jiaokey.com/tag/何虎生主编；中国人民大学马克思主义学院，北京高校思想政治理论课高精尖创新中心组编.html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关键词搜索：https://www.jiaokey.com/tag/“中国近现代史纲要”教学疑难深度解析.html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