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柴油机构造与原理</w:t>
      </w:r>
    </w:p>
    <w:p>
      <w:r>
        <w:rPr>
          <w:rFonts w:ascii="宋体" w:hAnsi="宋体" w:eastAsia="宋体"/>
          <w:sz w:val="24"/>
        </w:rPr>
        <w:t>姚良主编；崔智高，徐斌，王新军副主编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姚良主编；崔智高，徐斌，王新军副主编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本书出售、求购地址：https://www.jiaokey.com/book/detail/14547239.html</w:t>
      </w:r>
    </w:p>
    <w:p>
      <w:r>
        <w:t>更多相关图书推荐：https://www.jiaokey.com</w:t>
      </w:r>
    </w:p>
    <w:p>
      <w:r>
        <w:t>姚良主编；崔智高，徐斌，王新军副主编 其他作品：https://www.jiaokey.com/tag/姚良主编；崔智高，徐斌，王新军副主编.html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关键词搜索：https://www.jiaokey.com/tag/柴油机构造与原理.html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