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三维动画制作企业案例教程  Maya2013三维特效技术</w:t>
      </w:r>
    </w:p>
    <w:p>
      <w:r>
        <w:rPr>
          <w:rFonts w:ascii="宋体" w:hAnsi="宋体" w:eastAsia="宋体"/>
          <w:sz w:val="24"/>
        </w:rPr>
        <w:t>张春丽主编；王然，韩东润副主编；李颖，许茜，赵东，田群山参编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三维动画制作企业案例教程  Maya2013三维特效技术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张春丽主编；王然，韩东润副主编；李颖，许茜，赵东，田群山参编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本书出售、求购地址：https://www.jiaokey.com/book/detail/14565276.html</w:t>
      </w:r>
    </w:p>
    <w:p>
      <w:r>
        <w:t>更多相关图书推荐：https://www.jiaokey.com</w:t>
      </w:r>
    </w:p>
    <w:p>
      <w:r>
        <w:t>张春丽主编；王然，韩东润副主编；李颖，许茜，赵东，田群山参编 其他作品：https://www.jiaokey.com/tag/张春丽主编；王然，韩东润副主编；李颖，许茜，赵东，田群山参编.html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关键词搜索：https://www.jiaokey.com/tag/三维动画制作企业案例教程  Maya2013三维特效技术.html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