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职业素养与法律</w:t>
      </w:r>
    </w:p>
    <w:p>
      <w:r>
        <w:rPr>
          <w:rFonts w:ascii="宋体" w:hAnsi="宋体" w:eastAsia="宋体"/>
          <w:sz w:val="24"/>
        </w:rPr>
        <w:t>余长潭，宋承武主编；马建华，潘伟伟副主编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职业素养与法律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余长潭，宋承武主编；马建华，潘伟伟副主编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本书出售、求购地址：https://www.jiaokey.com/book/detail/14566949.html</w:t>
      </w:r>
    </w:p>
    <w:p>
      <w:r>
        <w:t>更多相关图书推荐：https://www.jiaokey.com</w:t>
      </w:r>
    </w:p>
    <w:p>
      <w:r>
        <w:t>余长潭，宋承武主编；马建华，潘伟伟副主编 其他作品：https://www.jiaokey.com/tag/余长潭，宋承武主编；马建华，潘伟伟副主编.html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关键词搜索：https://www.jiaokey.com/tag/职业素养与法律.html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