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数控宏程序经典实例详解</w:t>
      </w:r>
    </w:p>
    <w:p>
      <w:r>
        <w:rPr>
          <w:rFonts w:ascii="宋体" w:hAnsi="宋体" w:eastAsia="宋体"/>
          <w:sz w:val="24"/>
        </w:rPr>
        <w:t>史磊，贺陈挺，张廷主编；杜立波，鲁国军，张结琼，马潮副主编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数控宏程序经典实例详解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史磊，贺陈挺，张廷主编；杜立波，鲁国军，张结琼，马潮副主编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本书出售、求购地址：https://www.jiaokey.com/book/detail/14607147.html</w:t>
      </w:r>
    </w:p>
    <w:p>
      <w:r>
        <w:t>更多相关图书推荐：https://www.jiaokey.com</w:t>
      </w:r>
    </w:p>
    <w:p>
      <w:r>
        <w:t>史磊，贺陈挺，张廷主编；杜立波，鲁国军，张结琼，马潮副主编 其他作品：https://www.jiaokey.com/tag/史磊，贺陈挺，张廷主编；杜立波，鲁国军，张结琼，马潮副主编.html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关键词搜索：https://www.jiaokey.com/tag/数控宏程序经典实例详解.html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