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4.5参考指南</w:t>
      </w:r>
    </w:p>
    <w:p>
      <w:r>
        <w:rPr>
          <w:rFonts w:ascii="宋体" w:hAnsi="宋体" w:eastAsia="宋体"/>
          <w:sz w:val="24"/>
        </w:rPr>
        <w:t>李建昊，陆媛译；（美国）迪恩·莱芬韦尔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4.5参考指南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李建昊，陆媛译；（美国）迪恩·莱芬韦尔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本书出售、求购地址：https://www.jiaokey.com/book/detail/14656702.html</w:t>
      </w:r>
    </w:p>
    <w:p>
      <w:r>
        <w:t>更多相关图书推荐：https://www.jiaokey.com</w:t>
      </w:r>
    </w:p>
    <w:p>
      <w:r>
        <w:t>李建昊，陆媛译；（美国）迪恩·莱芬韦尔 其他作品：https://www.jiaokey.com/tag/李建昊，陆媛译；（美国）迪恩·莱芬韦尔.html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关键词搜索：https://www.jiaokey.com/tag/SAFe 4.5参考指南.html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