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百合抗病细胞工程育种与实践</w:t>
      </w:r>
    </w:p>
    <w:p>
      <w:r>
        <w:rPr>
          <w:rFonts w:ascii="宋体" w:hAnsi="宋体" w:eastAsia="宋体"/>
          <w:sz w:val="24"/>
        </w:rPr>
        <w:t>张艺萍，王继华，何月秋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百合抗病细胞工程育种与实践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张艺萍，王继华，何月秋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本书出售、求购地址：https://www.jiaokey.com/book/detail/14689540.html</w:t>
      </w:r>
    </w:p>
    <w:p>
      <w:r>
        <w:t>更多相关图书推荐：https://www.jiaokey.com</w:t>
      </w:r>
    </w:p>
    <w:p>
      <w:r>
        <w:t>张艺萍，王继华，何月秋 其他作品：https://www.jiaokey.com/tag/张艺萍，王继华，何月秋.html</w:t>
      </w:r>
    </w:p>
    <w:p>
      <w:r>
        <w:t>科学出版社 出版图书：https://www.jiaokey.com/tag/科学出版社.html</w:t>
      </w:r>
    </w:p>
    <w:p>
      <w:r>
        <w:t>关键词搜索：https://www.jiaokey.com/tag/百合抗病细胞工程育种与实践.html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