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中国法院2019年度案例  公司纠纷</w:t>
      </w:r>
    </w:p>
    <w:p>
      <w:r>
        <w:rPr>
          <w:rFonts w:ascii="宋体" w:hAnsi="宋体" w:eastAsia="宋体"/>
          <w:sz w:val="24"/>
        </w:rPr>
        <w:t>曹士兵主编国家法官学院案例开发研究中心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中国法院2019年度案例  公司纠纷</w:t>
            </w:r>
          </w:p>
        </w:tc>
      </w:tr>
      <w:tr>
        <w:tc>
          <w:tcPr>
            <w:tcW w:type="dxa" w:w="4320"/>
          </w:tcPr>
          <w:p>
            <w:r>
              <w:t>作者</w:t>
            </w:r>
          </w:p>
        </w:tc>
        <w:tc>
          <w:tcPr>
            <w:tcW w:type="dxa" w:w="4320"/>
          </w:tcPr>
          <w:p>
            <w:r>
              <w:t>曹士兵主编国家法官学院案例开发研究中心</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9787521600889</w:t>
            </w:r>
          </w:p>
        </w:tc>
      </w:tr>
      <w:tr>
        <w:tc>
          <w:tcPr>
            <w:tcW w:type="dxa" w:w="4320"/>
          </w:tcPr>
          <w:p>
            <w:r>
              <w:t>出版日期</w:t>
            </w:r>
          </w:p>
        </w:tc>
        <w:tc>
          <w:tcPr>
            <w:tcW w:type="dxa" w:w="4320"/>
          </w:tcPr>
          <w:p>
            <w:r>
              <w:t>2019-04-01</w:t>
            </w:r>
          </w:p>
        </w:tc>
      </w:tr>
      <w:tr>
        <w:tc>
          <w:tcPr>
            <w:tcW w:type="dxa" w:w="4320"/>
          </w:tcPr>
          <w:p>
            <w:r>
              <w:t>页数</w:t>
            </w:r>
          </w:p>
        </w:tc>
        <w:tc>
          <w:tcPr>
            <w:tcW w:type="dxa" w:w="4320"/>
          </w:tcPr>
          <w:p>
            <w:r>
              <w:t>256</w:t>
            </w:r>
          </w:p>
        </w:tc>
      </w:tr>
      <w:tr>
        <w:tc>
          <w:tcPr>
            <w:tcW w:type="dxa" w:w="4320"/>
          </w:tcPr>
          <w:p>
            <w:r>
              <w:t>价格</w:t>
            </w:r>
          </w:p>
        </w:tc>
        <w:tc>
          <w:tcPr>
            <w:tcW w:type="dxa" w:w="4320"/>
          </w:tcPr>
          <w:p>
            <w:r/>
          </w:p>
        </w:tc>
      </w:tr>
      <w:tr>
        <w:tc>
          <w:tcPr>
            <w:tcW w:type="dxa" w:w="4320"/>
          </w:tcPr>
          <w:p>
            <w:r>
              <w:t>关键词</w:t>
            </w:r>
          </w:p>
        </w:tc>
        <w:tc>
          <w:tcPr>
            <w:tcW w:type="dxa" w:w="4320"/>
          </w:tcPr>
          <w:p>
            <w:r>
              <w:t>公司-经济纠纷-案例-汇编-中国</w:t>
            </w:r>
          </w:p>
        </w:tc>
      </w:tr>
      <w:tr>
        <w:tc>
          <w:tcPr>
            <w:tcW w:type="dxa" w:w="4320"/>
          </w:tcPr>
          <w:p>
            <w:r>
              <w:t>分类</w:t>
            </w:r>
          </w:p>
        </w:tc>
        <w:tc>
          <w:tcPr>
            <w:tcW w:type="dxa" w:w="4320"/>
          </w:tcPr>
          <w:p>
            <w:r>
              <w:t>解释、案例</w:t>
            </w:r>
          </w:p>
        </w:tc>
      </w:tr>
    </w:tbl>
    <w:p/>
    <w:p>
      <w:pPr>
        <w:pStyle w:val="Heading1"/>
      </w:pPr>
      <w:r>
        <w:t>图书介绍</w:t>
      </w:r>
    </w:p>
    <w:p>
      <w:r>
        <w:t>本书是《中国法院2019年度案例系列》（全23册）的一个分册。内容包含股东资格确认、股东出资、股东知情权、公司盈余分配、公司决议、股权转让、损害股东公司利益责任、公司破产解散和清算等纠纷案件。所选案例均是国家法官学院从各地2018年上报的典型案例中挑选出来的精品案例，全面涵盖该领域常见纠纷内容。案情凝练，并由主审法官精心撰写裁判要旨与法官后语，可读性、适用性强，能帮助读者*限度地节约查找和阅读案例的时间，获得真正有用的信息，为法官、检察官、执法人员、律师、法律顾问办理相关案件以及案件当事人处理纠纷推荐参考书。 一、股东资格确认纠纷1.股东资格的否认之诉-韩某旭诉北京晨辉房地产开发有限公司股东资格确认案2.仅凭出资事实不能认定取得了股东资格-李某诉天全县二郎山水泥有限责任公司股东资格确认案3.未履行出资义务并不丧失股东资格-厦门华龙兴业房地产开发有限公司、陈某辉诉叶某源股东资格确认案4.隐名股东的消极确认之诉-益阳市高亿新型建筑材料有限公司诉邹某辉股东资格确认案5.隐名股东之资格确认-黄某银诉北京乔纳柏森服饰有限公司股东资格确认案二、股东出资纠纷6.非典型抽逃出资行为的认定-黑龙江新凯华机电设备安装工程有限公司诉哈尔滨天悦节能环保科技发展有限公司股东出资案7.股东抽逃出资的认定-携康长荣医院管理（北京）有限公司诉张某股东出资案8.对赌协议回购条款的效力-广州市高聚浩投资有限公司诉广东金网达汽车股份有限公司等新增资本认购案9.实际出资人的权益-周某平诉李某芳、厦门乐嘉颐餐饮管理有限公司与公司有关的纠纷案三、股东知情权纠纷10.行使股东知情权须具有公司股东资格-陈某杰、王某强诉广西恒基投资集团有限公司股东知情权案11.出资瑕疵与行使股东知情权的正当性边界-常某诉北京某旅游规划设计院有限公司股东知情权案12.瑕疵出资对股东资格及股东知情权的影响-尤某诉无锡惠成信息技术有限公司股东知情权案13.查阅公司会计账簿的原始凭证属于股东知情权的范围-林某泰等诉德化县潘祠大阪水电有限公司股东知情权案14.申请查阅公司相关合同的，一般不予支持；-杨某诉北京丰隆温市科技有限公司股东知情权案15.股东向公司提出的书面请求不需要达到民事诉讼法上的送达标准-王某诉北京阳光彼岸文化交流有限公司股东知情权案16.股东知情权纠纷中股东资格的审查尺度-李某河诉北京西化达商贸有限公司股东知情权案17.会计原始凭证是否属于股东知情权查阅范围-洪某明诉北京鲁丹鹏商贸有限公司股东知情权案18.如何认定股东行使知情权的不正当目的-陈某武诉北京源信创想信息技术有限公司股东知情权案……四、公司盈余分配纠纷五、公司决议纠纷六、股权转让纠纷七、损害股东、公司利益责任纠纷八、股东损害公司债权人利益责任纠纷九、公司破产、解散和清算十、与公司有关的纠纷……</w:t>
      </w:r>
    </w:p>
    <w:p/>
    <w:p>
      <w:r>
        <w:t>本书出售、求购地址：https://www.jiaokey.com/book/detail/14701977.html</w:t>
      </w:r>
    </w:p>
    <w:p>
      <w:r>
        <w:t>更多解释、案例图书推荐：https://www.jiaokey.com</w:t>
      </w:r>
    </w:p>
    <w:p>
      <w:r>
        <w:t>曹士兵主编国家法官学院案例开发研究中心 其他作品：https://www.jiaokey.com/tag/曹士兵主编国家法官学院案例开发研究中心.html</w:t>
      </w:r>
    </w:p>
    <w:p>
      <w:r>
        <w:t>北京：中国法制出版社 出版图书：https://www.jiaokey.com/tag/北京：中国法制出版社.html</w:t>
      </w:r>
    </w:p>
    <w:p>
      <w:r>
        <w:t>关键词搜索：https://www.jiaokey.com/tag/公司-经济纠纷-案例-汇编-中国.html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