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法国行政伦理理论与实践</w:t>
      </w:r>
    </w:p>
    <w:p>
      <w:r>
        <w:rPr>
          <w:rFonts w:ascii="宋体" w:hAnsi="宋体" w:eastAsia="宋体"/>
          <w:sz w:val="24"/>
        </w:rPr>
        <w:t>（法）克里斯蒂安·维谷鲁著；张欣伟，张亦珂，周佩琼，朱志平，邵玉警译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法国行政伦理理论与实践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（法）克里斯蒂安·维谷鲁著；张欣伟，张亦珂，周佩琼，朱志平，邵玉警译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本书出售、求购地址：https://www.jiaokey.com/book/detail/14714067.html</w:t>
      </w:r>
    </w:p>
    <w:p>
      <w:r>
        <w:t>更多相关图书推荐：https://www.jiaokey.com</w:t>
      </w:r>
    </w:p>
    <w:p>
      <w:r>
        <w:t>（法）克里斯蒂安·维谷鲁著；张欣伟，张亦珂，周佩琼，朱志平，邵玉警译 其他作品：https://www.jiaokey.com/tag/（法）克里斯蒂安·维谷鲁著；张欣伟，张亦珂，周佩琼，朱志平，邵玉警译.html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关键词搜索：https://www.jiaokey.com/tag/法国行政伦理理论与实践.html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