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COREIDRAW X6基础与案例教程</w:t>
      </w:r>
    </w:p>
    <w:p>
      <w:r>
        <w:rPr>
          <w:rFonts w:ascii="宋体" w:hAnsi="宋体" w:eastAsia="宋体"/>
          <w:sz w:val="24"/>
        </w:rPr>
        <w:t>蔡丹，刘超，李嫦英主编；张治斌主审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COREIDRAW X6基础与案例教程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蔡丹，刘超，李嫦英主编；张治斌主审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本书出售、求购地址：https://www.jiaokey.com/book/detail/14718346.html</w:t>
      </w:r>
    </w:p>
    <w:p>
      <w:r>
        <w:t>更多相关图书推荐：https://www.jiaokey.com</w:t>
      </w:r>
    </w:p>
    <w:p>
      <w:r>
        <w:t>蔡丹，刘超，李嫦英主编；张治斌主审 其他作品：https://www.jiaokey.com/tag/蔡丹，刘超，李嫦英主编；张治斌主审.html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关键词搜索：https://www.jiaokey.com/tag/图形图像处理  COREIDRAW X6基础与案例教程.html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