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熊爸熊孩写故事</w:t>
      </w:r>
    </w:p>
    <w:p>
      <w:r>
        <w:rPr>
          <w:rFonts w:ascii="宋体" w:hAnsi="宋体" w:eastAsia="宋体"/>
          <w:sz w:val="24"/>
        </w:rPr>
        <w:t>（阿根廷）古斯塔沃·罗当绘著；张贵勇译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熊爸熊孩写故事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（阿根廷）古斯塔沃·罗当绘著；张贵勇译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本书出售、求购地址：https://www.jiaokey.com/book/detail/14724913.html</w:t>
      </w:r>
    </w:p>
    <w:p>
      <w:r>
        <w:t>更多相关图书推荐：https://www.jiaokey.com</w:t>
      </w:r>
    </w:p>
    <w:p>
      <w:r>
        <w:t>（阿根廷）古斯塔沃·罗当绘著；张贵勇译 其他作品：https://www.jiaokey.com/tag/（阿根廷）古斯塔沃·罗当绘著；张贵勇译.html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关键词搜索：https://www.jiaokey.com/tag/熊爸熊孩写故事.html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